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</w:p>
    <w:p>
      <w:pPr>
        <w:spacing w:before="90"/>
        <w:ind w:left="3428" w:right="349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REFERÊNCIA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380"/>
        </w:tabs>
        <w:spacing w:before="90" w:after="0" w:line="240" w:lineRule="auto"/>
        <w:ind w:left="380" w:right="0" w:hanging="240"/>
        <w:jc w:val="left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Motivação: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71"/>
        </w:tabs>
        <w:spacing w:before="0" w:after="0" w:line="256" w:lineRule="auto"/>
        <w:ind w:left="140" w:right="102" w:firstLine="708"/>
        <w:jc w:val="both"/>
        <w:rPr>
          <w:sz w:val="24"/>
        </w:rPr>
      </w:pPr>
      <w:r>
        <w:rPr>
          <w:sz w:val="24"/>
        </w:rPr>
        <w:t xml:space="preserve">O presente termo tem por objeto a </w:t>
      </w:r>
      <w:r>
        <w:rPr>
          <w:rFonts w:hint="default"/>
          <w:sz w:val="24"/>
          <w:lang w:val="pt-BR"/>
        </w:rPr>
        <w:t xml:space="preserve">aquisição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rFonts w:hint="default"/>
          <w:sz w:val="24"/>
          <w:lang w:val="pt-BR"/>
        </w:rPr>
        <w:t>dispenser automático integrado com termômetro digital infravermelho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as necessidades e demanda d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UniRV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 de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Verde.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rFonts w:hint="default"/>
          <w:sz w:val="24"/>
          <w:lang w:val="pt-BR"/>
        </w:rPr>
      </w:pPr>
      <w:r>
        <w:rPr>
          <w:rFonts w:hint="default"/>
          <w:sz w:val="24"/>
          <w:lang w:val="pt-BR"/>
        </w:rPr>
        <w:t>Considerando o retorno das atividades presenciais e a necessidade de se proporcionar maior segurança dos servidores, alunos, professores e também de visitantes que necessitam de atendimento presencial se faz necessária a aquisição de dispenser automático integrado com termômetro digital infravermelho, conforme especificado abaixo, que por objetivo, fazer a higienização com álcool em gel e propiciar a aferição de temperatura em todos acessos da instituição.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>Tal demanda surgiu em razão da necessidade de prevenção ao surto de epidemia do novo coronavirus (COVID-19), possibilitando o desenvolvimento das atividades administrativas da instituição com maior segurança, no retorno das atividades presenciais.</w:t>
      </w:r>
    </w:p>
    <w:p>
      <w:pPr>
        <w:pStyle w:val="7"/>
        <w:numPr>
          <w:ilvl w:val="1"/>
          <w:numId w:val="1"/>
        </w:numPr>
        <w:tabs>
          <w:tab w:val="left" w:pos="1290"/>
        </w:tabs>
        <w:spacing w:before="218" w:after="0" w:line="256" w:lineRule="auto"/>
        <w:ind w:left="140" w:right="116" w:firstLine="708"/>
        <w:jc w:val="both"/>
        <w:rPr>
          <w:sz w:val="24"/>
        </w:rPr>
      </w:pPr>
      <w:r>
        <w:rPr>
          <w:rFonts w:hint="default"/>
          <w:sz w:val="24"/>
          <w:lang w:val="pt-BR"/>
        </w:rPr>
        <w:t xml:space="preserve">A contratação objetiva, por fim, respeitada a isonomia entre os licitantes, selecionar a proposta mais vantajosa para a Administração e que garanta a boa qualidade dos produtos a custos mais reduzidos </w:t>
      </w: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380"/>
        </w:tabs>
        <w:spacing w:before="195" w:after="0" w:line="240" w:lineRule="auto"/>
        <w:ind w:left="380" w:right="0" w:hanging="245"/>
        <w:jc w:val="left"/>
      </w:pPr>
      <w:r>
        <w:rPr>
          <w:rFonts w:hint="default"/>
        </w:rPr>
        <w:t>Descrição do Objeto, Quantitativos e Especificações Técnicas Mínimas</w:t>
      </w:r>
    </w:p>
    <w:p>
      <w:pPr>
        <w:pStyle w:val="5"/>
        <w:spacing w:before="8"/>
        <w:rPr>
          <w:b/>
          <w:sz w:val="21"/>
        </w:rPr>
      </w:pPr>
    </w:p>
    <w:p>
      <w:pPr>
        <w:pStyle w:val="5"/>
        <w:spacing w:before="6"/>
      </w:pPr>
    </w:p>
    <w:tbl>
      <w:tblPr>
        <w:tblStyle w:val="4"/>
        <w:tblW w:w="0" w:type="auto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59"/>
        <w:gridCol w:w="940"/>
        <w:gridCol w:w="6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spacing w:before="52" w:line="234" w:lineRule="exact"/>
              <w:ind w:left="145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59" w:type="dxa"/>
          </w:tcPr>
          <w:p>
            <w:pPr>
              <w:pStyle w:val="8"/>
              <w:spacing w:before="52" w:line="234" w:lineRule="exact"/>
              <w:ind w:left="72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spacing w:before="52" w:line="234" w:lineRule="exact"/>
              <w:ind w:left="113" w:right="142"/>
              <w:rPr>
                <w:b/>
                <w:sz w:val="22"/>
              </w:rPr>
            </w:pPr>
            <w:r>
              <w:rPr>
                <w:b/>
                <w:sz w:val="22"/>
              </w:rPr>
              <w:t>QTDE</w:t>
            </w:r>
          </w:p>
        </w:tc>
        <w:tc>
          <w:tcPr>
            <w:tcW w:w="6911" w:type="dxa"/>
          </w:tcPr>
          <w:p>
            <w:pPr>
              <w:pStyle w:val="8"/>
              <w:spacing w:before="52" w:line="234" w:lineRule="exact"/>
              <w:ind w:left="11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7" w:type="dxa"/>
            <w:tcBorders>
              <w:left w:val="single" w:color="000000" w:sz="12" w:space="0"/>
            </w:tcBorders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9" w:type="dxa"/>
          </w:tcPr>
          <w:p>
            <w:pPr>
              <w:pStyle w:val="8"/>
              <w:ind w:left="112" w:right="30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940" w:type="dxa"/>
          </w:tcPr>
          <w:p>
            <w:pPr>
              <w:pStyle w:val="8"/>
              <w:ind w:right="25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w w:val="100"/>
                <w:sz w:val="22"/>
                <w:lang w:val="pt-BR"/>
              </w:rPr>
              <w:t>15</w:t>
            </w:r>
          </w:p>
        </w:tc>
        <w:tc>
          <w:tcPr>
            <w:tcW w:w="6911" w:type="dxa"/>
          </w:tcPr>
          <w:p>
            <w:pPr>
              <w:pStyle w:val="8"/>
              <w:spacing w:line="252" w:lineRule="exact"/>
              <w:ind w:right="485"/>
              <w:jc w:val="both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DISPENSER P/ ALCOOL EM GEL AUTOMATIZADO COM TERMOMETRO DIGITAL INFRAVERMELHO - 220 VOLTS</w:t>
            </w:r>
            <w:bookmarkStart w:id="0" w:name="_GoBack"/>
            <w:bookmarkEnd w:id="0"/>
          </w:p>
        </w:tc>
      </w:tr>
    </w:tbl>
    <w:p>
      <w:pPr>
        <w:pStyle w:val="5"/>
      </w:pPr>
    </w:p>
    <w:p>
      <w:pPr>
        <w:pStyle w:val="5"/>
        <w:spacing w:before="10"/>
        <w:rPr>
          <w:sz w:val="19"/>
        </w:rPr>
      </w:pPr>
    </w:p>
    <w:p>
      <w:pPr>
        <w:pStyle w:val="5"/>
        <w:spacing w:before="1"/>
        <w:rPr>
          <w:sz w:val="1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  <w:lang w:val="pt-BR"/>
        </w:rPr>
        <w:t>Fundamentação Legal</w:t>
      </w:r>
    </w:p>
    <w:p>
      <w:pPr>
        <w:ind w:left="220" w:leftChars="100" w:firstLine="880" w:firstLineChars="400"/>
        <w:rPr>
          <w:rFonts w:hint="default"/>
        </w:rPr>
      </w:pPr>
      <w:r>
        <w:rPr>
          <w:rFonts w:hint="default"/>
        </w:rPr>
        <w:t>De acordo com a Lei Nº 14.133, de 1º de abril de 2021;</w:t>
      </w:r>
    </w:p>
    <w:p>
      <w:pPr>
        <w:ind w:left="220" w:leftChars="100" w:firstLine="880" w:firstLineChars="400"/>
        <w:rPr>
          <w:rFonts w:hint="default"/>
        </w:rPr>
      </w:pPr>
    </w:p>
    <w:p>
      <w:pPr>
        <w:ind w:firstLine="720" w:firstLineChars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Art. 75. É dispensável a licitação: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 II - para contratação que envolva valores inferiores a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$ 50.000,00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(cinquenta mil reais), no caso de outros serviços e compras;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 xml:space="preserve">Art. 95. O instrumento de contrato é obrigatório, salvo nas </w:t>
      </w:r>
      <w:r>
        <w:rPr>
          <w:rFonts w:hint="default"/>
          <w:b/>
          <w:bCs/>
          <w:lang w:val="pt-BR"/>
        </w:rPr>
        <w:t xml:space="preserve"> s</w:t>
      </w:r>
      <w:r>
        <w:rPr>
          <w:rFonts w:hint="default"/>
          <w:b/>
          <w:bCs/>
        </w:rPr>
        <w:t>eguintes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hipóteses, em que a Administração poderá substituí-lo por outro instrumento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hábil, como carta-</w:t>
      </w:r>
      <w:r>
        <w:rPr>
          <w:rFonts w:hint="default"/>
          <w:b/>
          <w:bCs/>
          <w:lang w:val="pt-BR"/>
        </w:rPr>
        <w:t xml:space="preserve"> c</w:t>
      </w:r>
      <w:r>
        <w:rPr>
          <w:rFonts w:hint="default"/>
          <w:b/>
          <w:bCs/>
        </w:rPr>
        <w:t>ontrato, nota de empenho de despesa, autorização de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compra ou ordem de execução de serviço:</w:t>
      </w:r>
      <w:r>
        <w:rPr>
          <w:rFonts w:hint="default"/>
          <w:b/>
          <w:bCs/>
          <w:lang w:val="pt-BR"/>
        </w:rPr>
        <w:t xml:space="preserve"> </w:t>
      </w:r>
    </w:p>
    <w:p>
      <w:pPr>
        <w:ind w:left="1540" w:leftChars="500" w:hanging="440" w:hangingChars="200"/>
        <w:jc w:val="both"/>
        <w:rPr>
          <w:rFonts w:hint="default"/>
          <w:b/>
          <w:bCs/>
        </w:rPr>
      </w:pPr>
    </w:p>
    <w:p>
      <w:pPr>
        <w:ind w:left="1540" w:leftChars="500" w:hanging="440" w:hangingChars="200"/>
        <w:jc w:val="both"/>
        <w:rPr>
          <w:rFonts w:hint="default"/>
          <w:b/>
          <w:bCs/>
          <w:lang w:val="pt-BR"/>
        </w:rPr>
      </w:pPr>
      <w:r>
        <w:rPr>
          <w:rFonts w:hint="default"/>
          <w:b/>
          <w:bCs/>
        </w:rPr>
        <w:t>II - compras com entrega imediata e integral dos bens adquiridos e dos quais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não resultem obrigações futuras, inclusive quanto à assistência técnica,</w:t>
      </w:r>
      <w:r>
        <w:rPr>
          <w:rFonts w:hint="default"/>
          <w:b/>
          <w:bCs/>
          <w:lang w:val="pt-BR"/>
        </w:rPr>
        <w:t xml:space="preserve"> </w:t>
      </w:r>
      <w:r>
        <w:rPr>
          <w:rFonts w:hint="default"/>
          <w:b/>
          <w:bCs/>
        </w:rPr>
        <w:t>independentemente de seu valor.</w:t>
      </w:r>
      <w:r>
        <w:rPr>
          <w:rFonts w:hint="default"/>
          <w:b/>
          <w:bCs/>
          <w:lang w:val="pt-BR"/>
        </w:rPr>
        <w:t xml:space="preserve"> </w:t>
      </w:r>
    </w:p>
    <w:p>
      <w:pPr>
        <w:rPr>
          <w:rFonts w:hint="default"/>
          <w:b/>
          <w:bCs/>
          <w:lang w:val="pt-BR"/>
        </w:rPr>
      </w:pPr>
    </w:p>
    <w:p>
      <w:pPr>
        <w:ind w:left="220" w:leftChars="100" w:firstLine="880" w:firstLineChars="400"/>
        <w:jc w:val="left"/>
        <w:rPr>
          <w:rFonts w:hint="default"/>
        </w:rPr>
      </w:pPr>
      <w:r>
        <w:rPr>
          <w:rFonts w:hint="default"/>
        </w:rPr>
        <w:t>Sendo assim, a aquisição será formalizada através da ordem de empenho, pois a entrega será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imediata e não haverá parcelamento de entrega e nem obrigação futura. O mesmo deverá ser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 xml:space="preserve">entregue ao órgão </w:t>
      </w:r>
      <w:r>
        <w:rPr>
          <w:rFonts w:hint="default"/>
          <w:lang w:val="pt-BR"/>
        </w:rPr>
        <w:t xml:space="preserve"> r</w:t>
      </w:r>
      <w:r>
        <w:rPr>
          <w:rFonts w:hint="default"/>
        </w:rPr>
        <w:t>equisitante de forma imediata.</w:t>
      </w:r>
    </w:p>
    <w:p>
      <w:pPr>
        <w:ind w:left="220" w:leftChars="100" w:firstLine="880" w:firstLineChars="400"/>
        <w:jc w:val="left"/>
        <w:rPr>
          <w:rFonts w:hint="default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90" w:after="0" w:line="240" w:lineRule="auto"/>
        <w:ind w:left="360" w:right="0" w:hanging="241"/>
        <w:jc w:val="left"/>
      </w:pPr>
      <w:r>
        <w:rPr>
          <w:rFonts w:hint="default"/>
        </w:rPr>
        <w:t>Do local de entrega e do recebimento: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itens deverão ser entregues no Almoxarifado Central, localizado na Av. José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Gonçalves Ataides, Qd1 2, Lt 24, Residencial Ataides 2ª Etapa , CEP 75909-845, Rio Verde -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GO, no período entre 07h00 às 10h00 e das 13h00 às 16h00.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4"/>
        </w:rPr>
        <w:t>A entrega deve ser realizada conforme solicitação do Departamento de Compras em,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 xml:space="preserve">no máximo, </w:t>
      </w:r>
      <w:r>
        <w:rPr>
          <w:rFonts w:hint="default"/>
          <w:sz w:val="24"/>
          <w:lang w:val="pt-BR"/>
        </w:rPr>
        <w:t>1</w:t>
      </w:r>
      <w:r>
        <w:rPr>
          <w:rFonts w:hint="default"/>
          <w:sz w:val="24"/>
        </w:rPr>
        <w:t>5 (</w:t>
      </w:r>
      <w:r>
        <w:rPr>
          <w:rFonts w:hint="default"/>
          <w:sz w:val="24"/>
          <w:lang w:val="pt-BR"/>
        </w:rPr>
        <w:t>quinze</w:t>
      </w:r>
      <w:r>
        <w:rPr>
          <w:rFonts w:hint="default"/>
          <w:sz w:val="24"/>
        </w:rPr>
        <w:t xml:space="preserve">) dias </w:t>
      </w:r>
      <w:r>
        <w:rPr>
          <w:rFonts w:hint="default"/>
          <w:sz w:val="24"/>
          <w:lang w:val="pt-BR"/>
        </w:rPr>
        <w:t>úteis</w:t>
      </w:r>
      <w:r>
        <w:rPr>
          <w:rFonts w:hint="default"/>
          <w:sz w:val="24"/>
        </w:rPr>
        <w:t>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rFonts w:hint="default"/>
          <w:sz w:val="22"/>
        </w:rPr>
      </w:pPr>
      <w:r>
        <w:rPr>
          <w:rFonts w:hint="default"/>
          <w:sz w:val="22"/>
        </w:rPr>
        <w:t>Os produtos deverão estar acondicionado em embalagem própria e em perfeito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estado.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A identificação de qualquer material em discordância com a solicitação ou com a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Nota Fiscal emitida, fora das especificações exigidas, em condições diferentes daquelas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apresentadas na proposta, ou, ainda, que apresente qualquer vício que o torne imprestável ao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fim que se destina, implicará na recusa por parte do servidor responsável pelo recebimento.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 xml:space="preserve"> A contratada deve observar os prazos previstos para entrega, reposição ou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substituição, salvo eventual tolerância expressa pela UniRV.</w:t>
      </w:r>
    </w:p>
    <w:p>
      <w:pPr>
        <w:pStyle w:val="7"/>
        <w:numPr>
          <w:ilvl w:val="1"/>
          <w:numId w:val="1"/>
        </w:numPr>
        <w:tabs>
          <w:tab w:val="left" w:pos="1501"/>
        </w:tabs>
        <w:spacing w:before="221" w:after="0" w:line="240" w:lineRule="auto"/>
        <w:ind w:left="1500" w:right="0" w:hanging="469"/>
        <w:jc w:val="left"/>
        <w:rPr>
          <w:sz w:val="22"/>
        </w:rPr>
      </w:pPr>
      <w:r>
        <w:rPr>
          <w:rFonts w:hint="default"/>
          <w:sz w:val="22"/>
        </w:rPr>
        <w:t>Caso os produtos entregues não correspondam ao solicitado, apresente qualquer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defeito, ou vício, o mesmo deverá ser substituído em, no máximo, 02 (dois) dias corridos à</w:t>
      </w:r>
      <w:r>
        <w:rPr>
          <w:rFonts w:hint="default"/>
          <w:sz w:val="22"/>
          <w:lang w:val="pt-BR"/>
        </w:rPr>
        <w:t xml:space="preserve"> </w:t>
      </w:r>
      <w:r>
        <w:rPr>
          <w:rFonts w:hint="default"/>
          <w:sz w:val="22"/>
        </w:rPr>
        <w:t>partir da solicitação.</w:t>
      </w:r>
    </w:p>
    <w:p>
      <w:pPr>
        <w:pStyle w:val="5"/>
      </w:pP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1" w:after="0" w:line="240" w:lineRule="auto"/>
        <w:ind w:left="360" w:right="0" w:hanging="241"/>
        <w:jc w:val="left"/>
      </w:pPr>
      <w:r>
        <w:t>Pagamento:</w:t>
      </w:r>
    </w:p>
    <w:p>
      <w:pPr>
        <w:pStyle w:val="5"/>
        <w:spacing w:before="11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será efetuado em até 30 (trinta) dias após a conferência definitiva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dos itens entregues, mediante apresentação da fatura, da competente liquidação da despesa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do atestado emitido pelo setor competente da UniRV - 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Caso algum item não corresponda ao solicitado ou apresente defeitos ou vícios, 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pagamento somente será liberado após a substituição do mesmo.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A Contratada deverá emitir Nota Fiscal em atenção às normas pertinentes,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indicando a instituição bancária, número da conta corrente e agência com a qual opera,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discriminando em seu bojo as especificações do produto entregue para a UniRV –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Universidade de Rio Verde.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responsável pelo recebimento da Nota Fiscal, no prazo de 5 (cinco) dias úteis,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conferirá se a descrição contida no documento corresponde às especificações solicitadas,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para aceitá-la ou rejeitá-la.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Serão recusadas as Notas Fiscais que relacionem especificações diferentes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daquelas solicitadas e/ou constantes da proposta ou do termo de homologação.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Na hipótese do subitem anterior, a contagem do prazo para pagamento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somente começará a fluir após a correção do documento fiscal.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Nenhum pagamento será efetuado à Contratada enquanto pendente de liquidação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qualquer obrigação financeira que lhe for imposta em virtude de penalidade ou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inadimplência, a qual poderá ser compensada com o(s) pagamento(s) pendente(s), sem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isso gere direito a acréscimos de qualquer natureza.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1"/>
          <w:numId w:val="1"/>
        </w:numPr>
        <w:tabs>
          <w:tab w:val="left" w:pos="1256"/>
        </w:tabs>
        <w:spacing w:before="0" w:after="0" w:line="276" w:lineRule="auto"/>
        <w:ind w:left="120" w:right="317" w:firstLine="696"/>
        <w:jc w:val="both"/>
        <w:rPr>
          <w:rFonts w:hint="default"/>
          <w:sz w:val="24"/>
        </w:rPr>
      </w:pPr>
      <w:r>
        <w:rPr>
          <w:rFonts w:hint="default"/>
          <w:sz w:val="24"/>
        </w:rPr>
        <w:t>O pagamento ficará sempre vinculado à apresentação das certidões que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comprovam a regularidade fiscal da Contratada perante aos órgãos federais, estaduais e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municipais.</w:t>
      </w:r>
      <w:r>
        <w:rPr>
          <w:rFonts w:hint="default"/>
          <w:sz w:val="24"/>
          <w:lang w:val="pt-BR"/>
        </w:rPr>
        <w:t xml:space="preserve"> </w:t>
      </w:r>
    </w:p>
    <w:p>
      <w:pPr>
        <w:pStyle w:val="7"/>
        <w:numPr>
          <w:ilvl w:val="2"/>
          <w:numId w:val="1"/>
        </w:numPr>
        <w:tabs>
          <w:tab w:val="left" w:pos="1256"/>
        </w:tabs>
        <w:spacing w:before="0" w:after="0" w:line="276" w:lineRule="auto"/>
        <w:ind w:left="540" w:leftChars="0" w:right="317" w:firstLine="696"/>
        <w:jc w:val="both"/>
        <w:rPr>
          <w:sz w:val="20"/>
        </w:rPr>
      </w:pPr>
      <w:r>
        <w:rPr>
          <w:rFonts w:hint="default"/>
          <w:sz w:val="24"/>
        </w:rPr>
        <w:t>A Contratada deverá manter a regularidade fiscal enquanto vigorar a relação</w:t>
      </w:r>
      <w:r>
        <w:rPr>
          <w:rFonts w:hint="default"/>
          <w:sz w:val="24"/>
          <w:lang w:val="pt-BR"/>
        </w:rPr>
        <w:t xml:space="preserve"> </w:t>
      </w:r>
      <w:r>
        <w:rPr>
          <w:rFonts w:hint="default"/>
          <w:sz w:val="24"/>
        </w:rPr>
        <w:t>contratual decorrente deste processo licitatório, sob pena de rescisão.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61"/>
        </w:tabs>
        <w:spacing w:before="0" w:after="0" w:line="240" w:lineRule="auto"/>
        <w:ind w:left="360" w:right="0" w:hanging="241"/>
        <w:jc w:val="left"/>
      </w:pPr>
      <w:r>
        <w:t>Envio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</w:t>
      </w:r>
    </w:p>
    <w:p/>
    <w:p>
      <w:pPr>
        <w:pStyle w:val="7"/>
        <w:numPr>
          <w:ilvl w:val="1"/>
          <w:numId w:val="2"/>
        </w:numPr>
        <w:tabs>
          <w:tab w:val="left" w:pos="1201"/>
        </w:tabs>
        <w:spacing w:before="41" w:after="0" w:line="240" w:lineRule="auto"/>
        <w:ind w:left="1200" w:right="0" w:hanging="361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r>
        <w:fldChar w:fldCharType="begin"/>
      </w:r>
      <w:r>
        <w:instrText xml:space="preserve"> HYPERLINK "mailto:paulo.cardoso@unirv.edu.br" \h </w:instrText>
      </w:r>
      <w:r>
        <w:fldChar w:fldCharType="separate"/>
      </w:r>
      <w:r>
        <w:rPr>
          <w:rFonts w:hint="default"/>
          <w:b/>
          <w:sz w:val="24"/>
          <w:lang w:val="pt-BR"/>
        </w:rPr>
        <w:t>vinicius.fonceca</w:t>
      </w:r>
      <w:r>
        <w:rPr>
          <w:b/>
          <w:sz w:val="24"/>
        </w:rPr>
        <w:t>@unirv.edu.br.</w:t>
      </w:r>
      <w:r>
        <w:rPr>
          <w:b/>
          <w:sz w:val="24"/>
        </w:rPr>
        <w:fldChar w:fldCharType="end"/>
      </w:r>
    </w:p>
    <w:p>
      <w:pPr>
        <w:pStyle w:val="5"/>
        <w:spacing w:before="1"/>
        <w:rPr>
          <w:b/>
          <w:sz w:val="31"/>
        </w:rPr>
      </w:pPr>
    </w:p>
    <w:p>
      <w:pPr>
        <w:pStyle w:val="7"/>
        <w:numPr>
          <w:ilvl w:val="1"/>
          <w:numId w:val="2"/>
        </w:numPr>
        <w:tabs>
          <w:tab w:val="left" w:pos="1223"/>
        </w:tabs>
        <w:spacing w:before="0" w:after="0" w:line="278" w:lineRule="auto"/>
        <w:ind w:left="840" w:right="121" w:firstLine="0"/>
        <w:jc w:val="both"/>
        <w:rPr>
          <w:sz w:val="24"/>
        </w:rPr>
      </w:pPr>
      <w:r>
        <w:rPr>
          <w:sz w:val="24"/>
        </w:rPr>
        <w:t xml:space="preserve">A proposta deve ser encaminhada dentro do prazo de 03 (três) dias </w:t>
      </w:r>
      <w:r>
        <w:rPr>
          <w:rFonts w:hint="default"/>
          <w:sz w:val="24"/>
          <w:lang w:val="pt-BR"/>
        </w:rPr>
        <w:t xml:space="preserve">úteis </w:t>
      </w:r>
      <w:r>
        <w:rPr>
          <w:sz w:val="24"/>
        </w:rPr>
        <w:t>a partir da data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UniRV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Rio Verde</w:t>
      </w:r>
      <w:r>
        <w:rPr>
          <w:rFonts w:hint="default"/>
          <w:sz w:val="24"/>
          <w:lang w:val="pt-BR"/>
        </w:rPr>
        <w:t xml:space="preserve">, </w:t>
      </w:r>
      <w:r>
        <w:rPr>
          <w:rFonts w:hint="default"/>
          <w:sz w:val="24"/>
        </w:rPr>
        <w:t>iniciando no dia 2</w:t>
      </w:r>
      <w:r>
        <w:rPr>
          <w:rFonts w:hint="default"/>
          <w:sz w:val="24"/>
          <w:lang w:val="pt-BR"/>
        </w:rPr>
        <w:t>3</w:t>
      </w:r>
      <w:r>
        <w:rPr>
          <w:rFonts w:hint="default"/>
          <w:sz w:val="24"/>
        </w:rPr>
        <w:t>/09/2021 até as 23h:59m do dia 2</w:t>
      </w:r>
      <w:r>
        <w:rPr>
          <w:rFonts w:hint="default"/>
          <w:sz w:val="24"/>
          <w:lang w:val="pt-BR"/>
        </w:rPr>
        <w:t>7</w:t>
      </w:r>
      <w:r>
        <w:rPr>
          <w:rFonts w:hint="default"/>
          <w:sz w:val="24"/>
        </w:rPr>
        <w:t>/09/2021.</w:t>
      </w:r>
    </w:p>
    <w:p>
      <w:pPr>
        <w:pStyle w:val="5"/>
        <w:spacing w:before="2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04"/>
        </w:tabs>
        <w:spacing w:before="0" w:after="0" w:line="276" w:lineRule="auto"/>
        <w:ind w:left="840" w:right="116" w:firstLine="0"/>
        <w:jc w:val="both"/>
        <w:rPr>
          <w:sz w:val="24"/>
        </w:rPr>
      </w:pPr>
      <w:r>
        <w:rPr>
          <w:sz w:val="24"/>
        </w:rPr>
        <w:t>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propostas enviada</w:t>
      </w:r>
      <w:r>
        <w:rPr>
          <w:rFonts w:hint="default"/>
          <w:sz w:val="24"/>
          <w:lang w:val="pt-BR"/>
        </w:rPr>
        <w:t>s</w:t>
      </w:r>
      <w:r>
        <w:rPr>
          <w:sz w:val="24"/>
        </w:rPr>
        <w:t xml:space="preserve"> dever</w:t>
      </w:r>
      <w:r>
        <w:rPr>
          <w:rFonts w:hint="default"/>
          <w:sz w:val="24"/>
          <w:lang w:val="pt-BR"/>
        </w:rPr>
        <w:t>ão</w:t>
      </w:r>
      <w:r>
        <w:rPr>
          <w:sz w:val="24"/>
        </w:rPr>
        <w:t xml:space="preserve"> conter os descritos de acordo com os solicitados, demonstrar</w:t>
      </w:r>
      <w:r>
        <w:rPr>
          <w:spacing w:val="-57"/>
          <w:sz w:val="24"/>
        </w:rPr>
        <w:t xml:space="preserve"> </w:t>
      </w:r>
      <w:r>
        <w:rPr>
          <w:sz w:val="24"/>
        </w:rPr>
        <w:t>marca, valor unitário, valor total, timbre da empresa interessada direcionando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UniRV.</w:t>
      </w:r>
    </w:p>
    <w:p>
      <w:pPr>
        <w:pStyle w:val="5"/>
        <w:spacing w:before="7"/>
        <w:rPr>
          <w:sz w:val="27"/>
        </w:rPr>
      </w:pPr>
    </w:p>
    <w:p>
      <w:pPr>
        <w:pStyle w:val="7"/>
        <w:numPr>
          <w:ilvl w:val="1"/>
          <w:numId w:val="2"/>
        </w:numPr>
        <w:tabs>
          <w:tab w:val="left" w:pos="1266"/>
        </w:tabs>
        <w:spacing w:before="0" w:after="0" w:line="276" w:lineRule="auto"/>
        <w:ind w:left="840" w:right="124" w:firstLine="0"/>
        <w:jc w:val="both"/>
        <w:rPr>
          <w:b/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entrar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cotações </w:t>
      </w:r>
      <w:r>
        <w:rPr>
          <w:b/>
          <w:sz w:val="24"/>
        </w:rPr>
        <w:t>(64)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3620-</w:t>
      </w:r>
      <w:r>
        <w:rPr>
          <w:rFonts w:hint="default"/>
          <w:b/>
          <w:sz w:val="24"/>
          <w:lang w:val="pt-BR"/>
        </w:rPr>
        <w:t>2231</w:t>
      </w:r>
      <w:r>
        <w:rPr>
          <w:b/>
          <w:sz w:val="24"/>
        </w:rPr>
        <w:t>.</w:t>
      </w: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both"/>
        <w:rPr>
          <w:b/>
          <w:sz w:val="24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1266"/>
        </w:tabs>
        <w:autoSpaceDE w:val="0"/>
        <w:autoSpaceDN w:val="0"/>
        <w:spacing w:before="0" w:after="0" w:line="276" w:lineRule="auto"/>
        <w:ind w:right="124" w:rightChars="0"/>
        <w:jc w:val="right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Rio Verde, 23 de setembro de 2021.</w:t>
      </w:r>
    </w:p>
    <w:sectPr>
      <w:headerReference r:id="rId5" w:type="default"/>
      <w:pgSz w:w="11920" w:h="16840"/>
      <w:pgMar w:top="2300" w:right="720" w:bottom="280" w:left="1300" w:header="7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939800</wp:posOffset>
          </wp:positionH>
          <wp:positionV relativeFrom="page">
            <wp:posOffset>499745</wp:posOffset>
          </wp:positionV>
          <wp:extent cx="5858510" cy="967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825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7"/>
      <w:numFmt w:val="decimal"/>
      <w:lvlText w:val="%1"/>
      <w:lvlJc w:val="left"/>
      <w:pPr>
        <w:ind w:left="120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3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80" w:hanging="435"/>
        <w:jc w:val="left"/>
      </w:pPr>
      <w:rPr>
        <w:rFonts w:hint="default"/>
        <w:b/>
        <w:bCs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" w:hanging="4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80" w:hanging="4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500" w:hanging="4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180" w:hanging="4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60" w:hanging="4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540" w:hanging="4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731613"/>
    <w:rsid w:val="2B105D89"/>
    <w:rsid w:val="45DE2B48"/>
    <w:rsid w:val="60EC6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0"/>
      <w:ind w:left="36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60" w:hanging="24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2021-09-16T18:30:00Z</dcterms:created>
  <dc:creator>User</dc:creator>
  <cp:lastModifiedBy>usuario</cp:lastModifiedBy>
  <dcterms:modified xsi:type="dcterms:W3CDTF">2021-09-22T18:46:13Z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2021-09-16T00:00:00Z</vt:filetime>
  </property>
  <property fmtid="{D5CDD505-2E9C-101B-9397-08002B2CF9AE}" pid="5" name="KSOProductBuildVer">
    <vt:lpwstr>1046-11.2.0.10296</vt:lpwstr>
  </property>
  <property fmtid="{D5CDD505-2E9C-101B-9397-08002B2CF9AE}" pid="6" name="ICV">
    <vt:lpwstr>5DA0246EDDE943C7A37DD136FFF80342</vt:lpwstr>
  </property>
</Properties>
</file>