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</w:p>
    <w:p>
      <w:pPr>
        <w:spacing w:before="90"/>
        <w:ind w:left="3428" w:right="349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380"/>
        </w:tabs>
        <w:spacing w:before="90" w:after="0" w:line="240" w:lineRule="auto"/>
        <w:ind w:left="380" w:right="0" w:hanging="240"/>
        <w:jc w:val="left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Motivação: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71"/>
        </w:tabs>
        <w:spacing w:before="0" w:after="0" w:line="256" w:lineRule="auto"/>
        <w:ind w:left="140" w:right="102" w:firstLine="708"/>
        <w:jc w:val="both"/>
        <w:rPr>
          <w:sz w:val="24"/>
        </w:rPr>
      </w:pPr>
      <w:r>
        <w:rPr>
          <w:sz w:val="24"/>
        </w:rPr>
        <w:t xml:space="preserve">O presente termo tem por objeto a </w:t>
      </w:r>
      <w:r>
        <w:rPr>
          <w:rFonts w:hint="default"/>
          <w:sz w:val="24"/>
          <w:lang w:val="pt-BR"/>
        </w:rPr>
        <w:t xml:space="preserve">aquisição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rFonts w:hint="default"/>
          <w:sz w:val="24"/>
          <w:lang w:val="pt-BR"/>
        </w:rPr>
        <w:t>alimentos de forma estimada com a finalidade de uso no Laboratório de Técnica Operatória e Almoxarifado Técnico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pt-BR"/>
        </w:rPr>
        <w:t>as necessidades e demanda d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UniRV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 de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Verde.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>Justifica-se o pedido considerando a necessidade de manter as atividades da disciplina de Técnica Operatória, onde são realizadas o ensino das práticas de suturas, e utilizados no cultivo de fungos e bactérias fitopatológicas.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 xml:space="preserve">A contratação objetiva, por fim, respeitada a isonomia entre os licitantes, selecionar a proposta mais vantajosa para a Administração e que garanta a boa qualidade dos produtos a custos mais reduzidos </w:t>
      </w: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380"/>
        </w:tabs>
        <w:spacing w:before="195" w:after="0" w:line="240" w:lineRule="auto"/>
        <w:ind w:left="380" w:right="0" w:hanging="245"/>
        <w:jc w:val="left"/>
      </w:pPr>
      <w:r>
        <w:rPr>
          <w:rFonts w:hint="default"/>
        </w:rPr>
        <w:t>Descrição do Objeto, Quantitativos e Especificações Técnicas Mínimas</w:t>
      </w:r>
    </w:p>
    <w:p>
      <w:pPr>
        <w:pStyle w:val="5"/>
        <w:spacing w:before="8"/>
        <w:rPr>
          <w:b/>
          <w:sz w:val="21"/>
        </w:rPr>
      </w:pPr>
    </w:p>
    <w:p>
      <w:pPr>
        <w:pStyle w:val="5"/>
        <w:spacing w:before="6"/>
      </w:pPr>
    </w:p>
    <w:tbl>
      <w:tblPr>
        <w:tblStyle w:val="4"/>
        <w:tblW w:w="0" w:type="auto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59"/>
        <w:gridCol w:w="940"/>
        <w:gridCol w:w="6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spacing w:before="52" w:line="234" w:lineRule="exact"/>
              <w:ind w:left="145"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59" w:type="dxa"/>
          </w:tcPr>
          <w:p>
            <w:pPr>
              <w:pStyle w:val="8"/>
              <w:spacing w:before="52" w:line="234" w:lineRule="exact"/>
              <w:ind w:left="72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spacing w:before="52" w:line="234" w:lineRule="exact"/>
              <w:ind w:left="113" w:right="142"/>
              <w:rPr>
                <w:b/>
                <w:sz w:val="22"/>
              </w:rPr>
            </w:pPr>
            <w:r>
              <w:rPr>
                <w:b/>
                <w:sz w:val="22"/>
              </w:rPr>
              <w:t>QTDE</w:t>
            </w:r>
          </w:p>
        </w:tc>
        <w:tc>
          <w:tcPr>
            <w:tcW w:w="6911" w:type="dxa"/>
          </w:tcPr>
          <w:p>
            <w:pPr>
              <w:pStyle w:val="8"/>
              <w:spacing w:before="52" w:line="234" w:lineRule="exact"/>
              <w:ind w:left="11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8"/>
              <w:ind w:left="112" w:right="30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KG</w:t>
            </w:r>
          </w:p>
        </w:tc>
        <w:tc>
          <w:tcPr>
            <w:tcW w:w="940" w:type="dxa"/>
          </w:tcPr>
          <w:p>
            <w:pPr>
              <w:pStyle w:val="8"/>
              <w:ind w:right="25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152</w:t>
            </w:r>
          </w:p>
        </w:tc>
        <w:tc>
          <w:tcPr>
            <w:tcW w:w="6911" w:type="dxa"/>
          </w:tcPr>
          <w:p>
            <w:pPr>
              <w:pStyle w:val="8"/>
              <w:spacing w:line="252" w:lineRule="exact"/>
              <w:ind w:right="485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LINGUA BOVINA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ind w:left="14"/>
              <w:rPr>
                <w:rFonts w:hint="default"/>
                <w:w w:val="100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2</w:t>
            </w:r>
          </w:p>
        </w:tc>
        <w:tc>
          <w:tcPr>
            <w:tcW w:w="859" w:type="dxa"/>
          </w:tcPr>
          <w:p>
            <w:pPr>
              <w:pStyle w:val="8"/>
              <w:ind w:left="112" w:right="30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ind w:right="25"/>
              <w:rPr>
                <w:rFonts w:hint="default"/>
                <w:w w:val="100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08</w:t>
            </w:r>
          </w:p>
        </w:tc>
        <w:tc>
          <w:tcPr>
            <w:tcW w:w="6911" w:type="dxa"/>
          </w:tcPr>
          <w:p>
            <w:pPr>
              <w:pStyle w:val="8"/>
              <w:spacing w:line="252" w:lineRule="exact"/>
              <w:ind w:right="485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MEIA BANDA DE LEITÃO - ENTRE 8 KG E 10 KG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ind w:left="14"/>
              <w:rPr>
                <w:rFonts w:hint="default"/>
                <w:w w:val="100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3</w:t>
            </w:r>
          </w:p>
        </w:tc>
        <w:tc>
          <w:tcPr>
            <w:tcW w:w="859" w:type="dxa"/>
          </w:tcPr>
          <w:p>
            <w:pPr>
              <w:pStyle w:val="8"/>
              <w:ind w:left="112" w:right="30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KG</w:t>
            </w:r>
          </w:p>
        </w:tc>
        <w:tc>
          <w:tcPr>
            <w:tcW w:w="940" w:type="dxa"/>
          </w:tcPr>
          <w:p>
            <w:pPr>
              <w:pStyle w:val="8"/>
              <w:ind w:right="25"/>
              <w:rPr>
                <w:rFonts w:hint="default"/>
                <w:w w:val="100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05</w:t>
            </w:r>
          </w:p>
        </w:tc>
        <w:tc>
          <w:tcPr>
            <w:tcW w:w="6911" w:type="dxa"/>
          </w:tcPr>
          <w:p>
            <w:pPr>
              <w:pStyle w:val="8"/>
              <w:spacing w:line="252" w:lineRule="exact"/>
              <w:ind w:right="485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BATA INGLESA (BATATINHA)</w:t>
            </w:r>
          </w:p>
        </w:tc>
      </w:tr>
    </w:tbl>
    <w:p>
      <w:pPr>
        <w:pStyle w:val="5"/>
      </w:pPr>
    </w:p>
    <w:p>
      <w:pPr>
        <w:pStyle w:val="5"/>
        <w:spacing w:before="10"/>
        <w:rPr>
          <w:sz w:val="19"/>
        </w:rPr>
      </w:pPr>
    </w:p>
    <w:p>
      <w:pPr>
        <w:pStyle w:val="5"/>
        <w:spacing w:before="1"/>
        <w:rPr>
          <w:sz w:val="1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rPr>
          <w:rFonts w:hint="default"/>
          <w:lang w:val="pt-BR"/>
        </w:rPr>
        <w:t>Fundamentação Legal</w:t>
      </w:r>
    </w:p>
    <w:p>
      <w:pPr>
        <w:ind w:left="220" w:leftChars="100" w:firstLine="880" w:firstLineChars="400"/>
        <w:rPr>
          <w:rFonts w:hint="default"/>
        </w:rPr>
      </w:pPr>
      <w:r>
        <w:rPr>
          <w:rFonts w:hint="default"/>
        </w:rPr>
        <w:t>De acordo com a Lei Nº 14.133, de 1º de abril de 2021;</w:t>
      </w:r>
    </w:p>
    <w:p>
      <w:pPr>
        <w:ind w:left="220" w:leftChars="100" w:firstLine="880" w:firstLineChars="400"/>
        <w:rPr>
          <w:rFonts w:hint="default"/>
        </w:rPr>
      </w:pPr>
    </w:p>
    <w:p>
      <w:pPr>
        <w:ind w:firstLine="720" w:firstLineChars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Art. 75. É dispensável a licitação:</w:t>
      </w:r>
    </w:p>
    <w:p>
      <w:pPr>
        <w:ind w:left="1540" w:leftChars="500" w:hanging="440" w:hangingChars="200"/>
        <w:jc w:val="both"/>
        <w:rPr>
          <w:rFonts w:hint="default"/>
          <w:b/>
          <w:bCs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 xml:space="preserve"> II - para contratação que envolva valores inferiores a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$ 50.000,00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(cinquenta mil reais), no caso de outros serviços e compras;</w:t>
      </w:r>
      <w:r>
        <w:rPr>
          <w:rFonts w:hint="default"/>
          <w:b/>
          <w:bCs/>
          <w:lang w:val="pt-BR"/>
        </w:rPr>
        <w:t xml:space="preserve"> </w:t>
      </w: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 xml:space="preserve">Art. 95. O instrumento de contrato é obrigatório, salvo nas </w:t>
      </w:r>
      <w:r>
        <w:rPr>
          <w:rFonts w:hint="default"/>
          <w:b/>
          <w:bCs/>
          <w:lang w:val="pt-BR"/>
        </w:rPr>
        <w:t xml:space="preserve"> s</w:t>
      </w:r>
      <w:r>
        <w:rPr>
          <w:rFonts w:hint="default"/>
          <w:b/>
          <w:bCs/>
        </w:rPr>
        <w:t>eguintes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hipóteses, em que a Administração poderá substituí-lo por outro instrumento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hábil, como carta-</w:t>
      </w:r>
      <w:r>
        <w:rPr>
          <w:rFonts w:hint="default"/>
          <w:b/>
          <w:bCs/>
          <w:lang w:val="pt-BR"/>
        </w:rPr>
        <w:t xml:space="preserve"> c</w:t>
      </w:r>
      <w:r>
        <w:rPr>
          <w:rFonts w:hint="default"/>
          <w:b/>
          <w:bCs/>
        </w:rPr>
        <w:t>ontrato, nota de empenho de despesa, autorização de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compra ou ordem de execução de serviço:</w:t>
      </w:r>
      <w:r>
        <w:rPr>
          <w:rFonts w:hint="default"/>
          <w:b/>
          <w:bCs/>
          <w:lang w:val="pt-BR"/>
        </w:rPr>
        <w:t xml:space="preserve"> </w:t>
      </w:r>
    </w:p>
    <w:p>
      <w:pPr>
        <w:ind w:left="1540" w:leftChars="500" w:hanging="440" w:hangingChars="200"/>
        <w:jc w:val="both"/>
        <w:rPr>
          <w:rFonts w:hint="default"/>
          <w:b/>
          <w:bCs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>II - compras com entrega imediata e integral dos bens adquiridos e dos quais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não resultem obrigações futuras, inclusive quanto à assistência técnica,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independentemente de seu valor.</w:t>
      </w:r>
      <w:r>
        <w:rPr>
          <w:rFonts w:hint="default"/>
          <w:b/>
          <w:bCs/>
          <w:lang w:val="pt-BR"/>
        </w:rPr>
        <w:t xml:space="preserve"> </w:t>
      </w:r>
    </w:p>
    <w:p>
      <w:pPr>
        <w:rPr>
          <w:rFonts w:hint="default"/>
          <w:b/>
          <w:bCs/>
          <w:lang w:val="pt-BR"/>
        </w:rPr>
      </w:pPr>
    </w:p>
    <w:p>
      <w:pPr>
        <w:ind w:left="220" w:leftChars="100" w:firstLine="880" w:firstLineChars="400"/>
        <w:jc w:val="left"/>
        <w:rPr>
          <w:rFonts w:hint="default"/>
        </w:rPr>
      </w:pPr>
      <w:r>
        <w:rPr>
          <w:rFonts w:hint="default"/>
        </w:rPr>
        <w:t>Sendo assim, a aquisição será formalizada através da ordem de empenho</w:t>
      </w:r>
      <w:r>
        <w:rPr>
          <w:rFonts w:hint="default"/>
          <w:lang w:val="pt-BR"/>
        </w:rPr>
        <w:t xml:space="preserve"> e Ordem de Fornecimento Parcial</w:t>
      </w:r>
      <w:r>
        <w:rPr>
          <w:rFonts w:hint="default"/>
        </w:rPr>
        <w:t>, pois a entrega será</w:t>
      </w:r>
      <w:r>
        <w:rPr>
          <w:rFonts w:hint="default"/>
          <w:lang w:val="pt-BR"/>
        </w:rPr>
        <w:t xml:space="preserve"> de acordo com a quantidade na Ordem de Fornecimento</w:t>
      </w:r>
      <w:r>
        <w:rPr>
          <w:rFonts w:hint="default"/>
        </w:rPr>
        <w:t>. O mesmo deverá ser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 xml:space="preserve">entregue ao órgão </w:t>
      </w:r>
      <w:r>
        <w:rPr>
          <w:rFonts w:hint="default"/>
          <w:lang w:val="pt-BR"/>
        </w:rPr>
        <w:t xml:space="preserve"> r</w:t>
      </w:r>
      <w:r>
        <w:rPr>
          <w:rFonts w:hint="default"/>
        </w:rPr>
        <w:t>equisitante de forma imediata.</w:t>
      </w:r>
    </w:p>
    <w:p>
      <w:pPr>
        <w:ind w:left="220" w:leftChars="100" w:firstLine="880" w:firstLineChars="400"/>
        <w:jc w:val="left"/>
        <w:rPr>
          <w:rFonts w:hint="default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  <w:rPr>
          <w:rFonts w:hint="default"/>
        </w:rPr>
      </w:pPr>
      <w:r>
        <w:rPr>
          <w:rFonts w:hint="default"/>
        </w:rPr>
        <w:t>Da Capacidade Técnica e Habilitação</w:t>
      </w:r>
    </w:p>
    <w:p>
      <w:pPr>
        <w:rPr>
          <w:rFonts w:hint="default"/>
        </w:rPr>
      </w:pPr>
    </w:p>
    <w:p>
      <w:pPr>
        <w:pStyle w:val="2"/>
        <w:numPr>
          <w:ilvl w:val="1"/>
          <w:numId w:val="1"/>
        </w:numPr>
        <w:tabs>
          <w:tab w:val="left" w:pos="361"/>
        </w:tabs>
        <w:spacing w:before="90" w:after="0" w:line="240" w:lineRule="auto"/>
        <w:ind w:left="780" w:leftChars="0" w:right="0" w:hanging="241"/>
        <w:jc w:val="left"/>
        <w:rPr>
          <w:b w:val="0"/>
          <w:bCs w:val="0"/>
        </w:rPr>
      </w:pPr>
      <w:r>
        <w:rPr>
          <w:rFonts w:hint="default"/>
          <w:b w:val="0"/>
          <w:bCs w:val="0"/>
        </w:rPr>
        <w:t>A empresa interessada comprovará a sua capacitação técnica através da verificação de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 w:val="0"/>
          <w:bCs w:val="0"/>
        </w:rPr>
        <w:t>compatibilidade entre sua Atividade Econômica, apresentada no Cartão CNPJ e/ou Contrato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 w:val="0"/>
          <w:bCs w:val="0"/>
        </w:rPr>
        <w:t xml:space="preserve">Social, e o objeto desta contratação. 4.2 A comprovação de atendimento aos requisitos de </w:t>
      </w:r>
      <w:r>
        <w:rPr>
          <w:rFonts w:hint="default"/>
          <w:b w:val="0"/>
          <w:bCs w:val="0"/>
          <w:lang w:val="pt-BR"/>
        </w:rPr>
        <w:t xml:space="preserve"> h</w:t>
      </w:r>
      <w:r>
        <w:rPr>
          <w:rFonts w:hint="default"/>
          <w:b w:val="0"/>
          <w:bCs w:val="0"/>
        </w:rPr>
        <w:t>abilitação será verificada com a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 w:val="0"/>
          <w:bCs w:val="0"/>
        </w:rPr>
        <w:t>apresentação do Certificado de Registro Cadastral (CRC) emitido pelo Setor de Cadastro de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 w:val="0"/>
          <w:bCs w:val="0"/>
        </w:rPr>
        <w:t>Fornecedor da UniRV - Universidade de Rio Verde. Caso a vencedora não possua cadastro, será concedido o prazo de 02 (dois)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 w:val="0"/>
          <w:bCs w:val="0"/>
        </w:rPr>
        <w:t>dias úteis para fazê-lo, sob pena de desclassificação da proposta.</w:t>
      </w:r>
    </w:p>
    <w:p/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rPr>
          <w:rFonts w:hint="default"/>
        </w:rPr>
        <w:t>Do local de entrega e do recebimento:</w:t>
      </w:r>
    </w:p>
    <w:p/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rFonts w:hint="default"/>
          <w:sz w:val="22"/>
        </w:rPr>
      </w:pPr>
      <w:r>
        <w:rPr>
          <w:rFonts w:hint="default"/>
          <w:sz w:val="22"/>
        </w:rPr>
        <w:t>Os itens deverão ser entregues no Almoxarifado Central, localizado na Av. José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Gonçalves Ataides, Qd1 2, Lt 24, Residencial Ataides 2ª Etapa , CEP 75909-845, Rio Verde -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GO, no período entre 07h00 às 10h00 e das 13h00 às 16h00.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4"/>
        </w:rPr>
        <w:t>A entrega deve ser realizada conforme solicitação do Departamento de Compras em,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 xml:space="preserve">no máximo, </w:t>
      </w:r>
      <w:r>
        <w:rPr>
          <w:rFonts w:hint="default"/>
          <w:sz w:val="24"/>
          <w:lang w:val="pt-BR"/>
        </w:rPr>
        <w:t>1</w:t>
      </w:r>
      <w:r>
        <w:rPr>
          <w:rFonts w:hint="default"/>
          <w:sz w:val="24"/>
        </w:rPr>
        <w:t>5 (</w:t>
      </w:r>
      <w:r>
        <w:rPr>
          <w:rFonts w:hint="default"/>
          <w:sz w:val="24"/>
          <w:lang w:val="pt-BR"/>
        </w:rPr>
        <w:t>quinze</w:t>
      </w:r>
      <w:r>
        <w:rPr>
          <w:rFonts w:hint="default"/>
          <w:sz w:val="24"/>
        </w:rPr>
        <w:t xml:space="preserve">) dias </w:t>
      </w:r>
      <w:r>
        <w:rPr>
          <w:rFonts w:hint="default"/>
          <w:sz w:val="24"/>
          <w:lang w:val="pt-BR"/>
        </w:rPr>
        <w:t>úteis</w:t>
      </w:r>
      <w:r>
        <w:rPr>
          <w:rFonts w:hint="default"/>
          <w:sz w:val="24"/>
        </w:rPr>
        <w:t>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rFonts w:hint="default"/>
          <w:sz w:val="22"/>
        </w:rPr>
      </w:pPr>
      <w:r>
        <w:rPr>
          <w:rFonts w:hint="default"/>
          <w:sz w:val="22"/>
        </w:rPr>
        <w:t>Os produtos deverão estar acondicionado em embalagem própria e em perfeito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estado.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>A identificação de qualquer material em discordância com a solicitação ou com a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Nota Fiscal emitida, fora das especificações exigidas, em condições diferentes daquelas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apresentadas na proposta, ou, ainda, que apresente qualquer vício que o torne imprestável ao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fim que se destina, implicará na recusa por parte do servidor responsável pelo recebimento.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 xml:space="preserve"> A contratada deve observar os prazos previstos para entrega, reposição ou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substituição, salvo eventual tolerância expressa pela UniRV.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>Caso os produtos entregues não correspondam ao solicitado, apresente qualquer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defeito, ou vício, o mesmo deverá ser substituído em, no máximo, 02 (dois) dias corridos à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partir da solicitação.</w:t>
      </w:r>
    </w:p>
    <w:p>
      <w:pPr>
        <w:pStyle w:val="5"/>
      </w:pPr>
    </w:p>
    <w:p>
      <w:pPr>
        <w:pStyle w:val="5"/>
        <w:spacing w:before="7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1" w:after="0" w:line="240" w:lineRule="auto"/>
        <w:ind w:left="360" w:right="0" w:hanging="241"/>
        <w:jc w:val="left"/>
      </w:pPr>
      <w:r>
        <w:rPr>
          <w:rFonts w:hint="default"/>
        </w:rPr>
        <w:t>. Da Gestão do Contrato</w:t>
      </w:r>
      <w:r>
        <w:rPr>
          <w:rFonts w:hint="default"/>
          <w:lang w:val="pt-BR"/>
        </w:rPr>
        <w:t xml:space="preserve"> </w:t>
      </w:r>
    </w:p>
    <w:p/>
    <w:p>
      <w:pPr>
        <w:pStyle w:val="2"/>
        <w:numPr>
          <w:ilvl w:val="1"/>
          <w:numId w:val="1"/>
        </w:numPr>
        <w:tabs>
          <w:tab w:val="left" w:pos="361"/>
        </w:tabs>
        <w:spacing w:before="1" w:after="0" w:line="240" w:lineRule="auto"/>
        <w:ind w:left="780" w:leftChars="0" w:right="0" w:hanging="241"/>
        <w:jc w:val="left"/>
        <w:rPr>
          <w:b w:val="0"/>
          <w:bCs w:val="0"/>
        </w:rPr>
      </w:pPr>
      <w:r>
        <w:rPr>
          <w:rFonts w:hint="default"/>
          <w:b w:val="0"/>
          <w:bCs w:val="0"/>
        </w:rPr>
        <w:t>A fiscalização, acompanhamento e gestão dessa contratação ficarão a cargo do</w:t>
      </w:r>
      <w:r>
        <w:rPr>
          <w:rFonts w:hint="default"/>
          <w:b w:val="0"/>
          <w:bCs w:val="0"/>
          <w:lang w:val="pt-BR"/>
        </w:rPr>
        <w:t xml:space="preserve"> </w:t>
      </w:r>
      <w:r>
        <w:rPr>
          <w:rFonts w:hint="default"/>
          <w:b w:val="0"/>
          <w:bCs w:val="0"/>
        </w:rPr>
        <w:t xml:space="preserve">servidor </w:t>
      </w:r>
      <w:r>
        <w:rPr>
          <w:rFonts w:hint="default"/>
          <w:b/>
          <w:bCs/>
          <w:lang w:val="pt-BR"/>
        </w:rPr>
        <w:t>Daniel Tizo Costa</w:t>
      </w:r>
      <w:r>
        <w:rPr>
          <w:rFonts w:hint="default"/>
          <w:b w:val="0"/>
          <w:bCs w:val="0"/>
        </w:rPr>
        <w:t xml:space="preserve"> conforme Portaria n. </w:t>
      </w:r>
      <w:r>
        <w:rPr>
          <w:rFonts w:hint="default"/>
          <w:b w:val="0"/>
          <w:bCs w:val="0"/>
          <w:lang w:val="pt-BR"/>
        </w:rPr>
        <w:t>618</w:t>
      </w:r>
      <w:r>
        <w:rPr>
          <w:rFonts w:hint="default"/>
          <w:b w:val="0"/>
          <w:bCs w:val="0"/>
        </w:rPr>
        <w:t>/20</w:t>
      </w:r>
      <w:r>
        <w:rPr>
          <w:rFonts w:hint="default"/>
          <w:b w:val="0"/>
          <w:bCs w:val="0"/>
          <w:lang w:val="pt-BR"/>
        </w:rPr>
        <w:t>18</w:t>
      </w:r>
      <w:r>
        <w:rPr>
          <w:rFonts w:hint="default"/>
          <w:b w:val="0"/>
          <w:bCs w:val="0"/>
        </w:rPr>
        <w:t>.</w:t>
      </w:r>
      <w:bookmarkStart w:id="0" w:name="_GoBack"/>
      <w:bookmarkEnd w:id="0"/>
    </w:p>
    <w:p/>
    <w:p>
      <w:pPr>
        <w:pStyle w:val="2"/>
        <w:numPr>
          <w:ilvl w:val="0"/>
          <w:numId w:val="1"/>
        </w:numPr>
        <w:tabs>
          <w:tab w:val="left" w:pos="361"/>
        </w:tabs>
        <w:spacing w:before="1" w:after="0" w:line="240" w:lineRule="auto"/>
        <w:ind w:left="360" w:right="0" w:hanging="241"/>
        <w:jc w:val="left"/>
      </w:pPr>
      <w:r>
        <w:t>Pagamento: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pagamento será efetuado em até 30 (trinta) dias após a conferência definitiva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dos itens entregues, mediante apresentação da fatura, da competente liquidação da despesa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do atestado emitido pelo setor competente da UniRV - Universidade de Rio Verde.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Caso algum item não corresponda ao solicitado ou apresente defeitos ou vícios, 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pagamento somente será liberado após a substituição do mesmo.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A Contratada deverá emitir Nota Fiscal em atenção às normas pertinentes,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indicando a instituição bancária, número da conta corrente e agência com a qual opera,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discriminando em seu bojo as especificações do produto entregue para a UniRV –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Universidade de Rio Verde.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responsável pelo recebimento da Nota Fiscal, no prazo de 5 (cinco) dias úteis,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conferirá se a descrição contida no documento corresponde às especificações solicitadas,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para aceitá-la ou rejeitá-la.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Serão recusadas as Notas Fiscais que relacionem especificações diferentes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daquelas solicitadas e/ou constantes da proposta ou do termo de homologação.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Na hipótese do subitem anterior, a contagem do prazo para pagamento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somente começará a fluir após a correção do documento fiscal.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Nenhum pagamento será efetuado à Contratada enquanto pendente de liquidação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qualquer obrigação financeira que lhe for imposta em virtude de penalidade ou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inadimplência, a qual poderá ser compensada com o(s) pagamento(s) pendente(s), sem que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isso gere direito a acréscimos de qualquer natureza.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pagamento ficará sempre vinculado à apresentação das certidões que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comprovam a regularidade fiscal da Contratada perante aos órgãos federais, estaduais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municipais.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sz w:val="20"/>
        </w:rPr>
      </w:pPr>
      <w:r>
        <w:rPr>
          <w:rFonts w:hint="default"/>
          <w:sz w:val="24"/>
        </w:rPr>
        <w:t>A Contratada deverá manter a regularidade fiscal enquanto vigorar a relação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contratual decorrente deste processo licitatório, sob pena de rescisão.</w:t>
      </w:r>
    </w:p>
    <w:p>
      <w:pPr>
        <w:pStyle w:val="5"/>
        <w:spacing w:before="3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0" w:after="0" w:line="240" w:lineRule="auto"/>
        <w:ind w:left="360" w:right="0" w:hanging="241"/>
        <w:jc w:val="left"/>
      </w:pP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</w:t>
      </w:r>
    </w:p>
    <w:p/>
    <w:p>
      <w:pPr>
        <w:pStyle w:val="7"/>
        <w:numPr>
          <w:ilvl w:val="1"/>
          <w:numId w:val="2"/>
        </w:numPr>
        <w:tabs>
          <w:tab w:val="left" w:pos="1201"/>
        </w:tabs>
        <w:spacing w:before="41" w:after="0" w:line="240" w:lineRule="auto"/>
        <w:ind w:left="1200" w:right="0" w:hanging="361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"mailto:paulo.cardoso@unirv.edu.br" \h </w:instrText>
      </w:r>
      <w:r>
        <w:fldChar w:fldCharType="separate"/>
      </w:r>
      <w:r>
        <w:rPr>
          <w:rFonts w:hint="default"/>
          <w:b/>
          <w:sz w:val="24"/>
          <w:lang w:val="pt-BR"/>
        </w:rPr>
        <w:t>vinicius.fonceca</w:t>
      </w:r>
      <w:r>
        <w:rPr>
          <w:b/>
          <w:sz w:val="24"/>
        </w:rPr>
        <w:t>@unirv.edu.br.</w:t>
      </w:r>
      <w:r>
        <w:rPr>
          <w:b/>
          <w:sz w:val="24"/>
        </w:rPr>
        <w:fldChar w:fldCharType="end"/>
      </w:r>
    </w:p>
    <w:p>
      <w:pPr>
        <w:pStyle w:val="5"/>
        <w:spacing w:before="1"/>
        <w:rPr>
          <w:b/>
          <w:sz w:val="31"/>
        </w:rPr>
      </w:pPr>
    </w:p>
    <w:p>
      <w:pPr>
        <w:pStyle w:val="7"/>
        <w:numPr>
          <w:ilvl w:val="1"/>
          <w:numId w:val="2"/>
        </w:numPr>
        <w:tabs>
          <w:tab w:val="left" w:pos="1223"/>
        </w:tabs>
        <w:spacing w:before="0" w:after="0" w:line="278" w:lineRule="auto"/>
        <w:ind w:left="840" w:right="121" w:firstLine="0"/>
        <w:jc w:val="both"/>
        <w:rPr>
          <w:sz w:val="24"/>
        </w:rPr>
      </w:pPr>
      <w:r>
        <w:rPr>
          <w:sz w:val="24"/>
        </w:rPr>
        <w:t xml:space="preserve">A proposta deve ser encaminhada dentro do prazo de 03 (três) dias </w:t>
      </w:r>
      <w:r>
        <w:rPr>
          <w:rFonts w:hint="default"/>
          <w:sz w:val="24"/>
          <w:lang w:val="pt-BR"/>
        </w:rPr>
        <w:t xml:space="preserve">úteis </w:t>
      </w:r>
      <w:r>
        <w:rPr>
          <w:sz w:val="24"/>
        </w:rPr>
        <w:t>a partir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UniRV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Rio Verde</w:t>
      </w:r>
      <w:r>
        <w:rPr>
          <w:rFonts w:hint="default"/>
          <w:sz w:val="24"/>
          <w:lang w:val="pt-BR"/>
        </w:rPr>
        <w:t xml:space="preserve">, </w:t>
      </w:r>
      <w:r>
        <w:rPr>
          <w:rFonts w:hint="default"/>
          <w:sz w:val="24"/>
        </w:rPr>
        <w:t xml:space="preserve">iniciando no dia </w:t>
      </w:r>
      <w:r>
        <w:rPr>
          <w:rFonts w:hint="default"/>
          <w:sz w:val="24"/>
          <w:lang w:val="pt-BR"/>
        </w:rPr>
        <w:t>05</w:t>
      </w:r>
      <w:r>
        <w:rPr>
          <w:rFonts w:hint="default"/>
          <w:sz w:val="24"/>
        </w:rPr>
        <w:t>/</w:t>
      </w:r>
      <w:r>
        <w:rPr>
          <w:rFonts w:hint="default"/>
          <w:sz w:val="24"/>
          <w:lang w:val="pt-BR"/>
        </w:rPr>
        <w:t>10</w:t>
      </w:r>
      <w:r>
        <w:rPr>
          <w:rFonts w:hint="default"/>
          <w:sz w:val="24"/>
        </w:rPr>
        <w:t xml:space="preserve">/2021 até as 23h:59m do dia </w:t>
      </w:r>
      <w:r>
        <w:rPr>
          <w:rFonts w:hint="default"/>
          <w:sz w:val="24"/>
          <w:lang w:val="pt-BR"/>
        </w:rPr>
        <w:t>08</w:t>
      </w:r>
      <w:r>
        <w:rPr>
          <w:rFonts w:hint="default"/>
          <w:sz w:val="24"/>
        </w:rPr>
        <w:t>/</w:t>
      </w:r>
      <w:r>
        <w:rPr>
          <w:rFonts w:hint="default"/>
          <w:sz w:val="24"/>
          <w:lang w:val="pt-BR"/>
        </w:rPr>
        <w:t>10</w:t>
      </w:r>
      <w:r>
        <w:rPr>
          <w:rFonts w:hint="default"/>
          <w:sz w:val="24"/>
        </w:rPr>
        <w:t>/2021.</w:t>
      </w:r>
    </w:p>
    <w:p>
      <w:pPr>
        <w:pStyle w:val="5"/>
        <w:spacing w:before="2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04"/>
        </w:tabs>
        <w:spacing w:before="0" w:after="0" w:line="276" w:lineRule="auto"/>
        <w:ind w:left="840"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propostas enviada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dever</w:t>
      </w:r>
      <w:r>
        <w:rPr>
          <w:rFonts w:hint="default"/>
          <w:sz w:val="24"/>
          <w:lang w:val="pt-BR"/>
        </w:rPr>
        <w:t>ão</w:t>
      </w:r>
      <w:r>
        <w:rPr>
          <w:sz w:val="24"/>
        </w:rPr>
        <w:t xml:space="preserve"> conter os descritos de acordo com os solicitados, demonstrar</w:t>
      </w:r>
      <w:r>
        <w:rPr>
          <w:spacing w:val="-57"/>
          <w:sz w:val="24"/>
        </w:rPr>
        <w:t xml:space="preserve"> </w:t>
      </w:r>
      <w:r>
        <w:rPr>
          <w:sz w:val="24"/>
        </w:rPr>
        <w:t>marca, valor unitário, valor total, timbre da empresa interessada direcionando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UniRV.</w:t>
      </w:r>
    </w:p>
    <w:p>
      <w:pPr>
        <w:pStyle w:val="5"/>
        <w:spacing w:before="7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66"/>
        </w:tabs>
        <w:spacing w:before="0" w:after="0" w:line="276" w:lineRule="auto"/>
        <w:ind w:left="840" w:right="124" w:firstLine="0"/>
        <w:jc w:val="both"/>
        <w:rPr>
          <w:b/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entrar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cotações </w:t>
      </w:r>
      <w:r>
        <w:rPr>
          <w:b/>
          <w:sz w:val="24"/>
        </w:rPr>
        <w:t>(64)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3620-</w:t>
      </w:r>
      <w:r>
        <w:rPr>
          <w:rFonts w:hint="default"/>
          <w:b/>
          <w:sz w:val="24"/>
          <w:lang w:val="pt-BR"/>
        </w:rPr>
        <w:t>2231</w:t>
      </w:r>
      <w:r>
        <w:rPr>
          <w:b/>
          <w:sz w:val="24"/>
        </w:rPr>
        <w:t>.</w:t>
      </w: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center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Daniel Tizo Costa</w:t>
      </w: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center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Gestor de Contratos</w:t>
      </w: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right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Rio Verde, 23 de setembro de 2021.</w:t>
      </w:r>
    </w:p>
    <w:sectPr>
      <w:headerReference r:id="rId5" w:type="default"/>
      <w:pgSz w:w="11920" w:h="16840"/>
      <w:pgMar w:top="2300" w:right="720" w:bottom="280" w:left="1300" w:header="7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939800</wp:posOffset>
          </wp:positionH>
          <wp:positionV relativeFrom="page">
            <wp:posOffset>499745</wp:posOffset>
          </wp:positionV>
          <wp:extent cx="5858510" cy="967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82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7"/>
      <w:numFmt w:val="decimal"/>
      <w:lvlText w:val="%1"/>
      <w:lvlJc w:val="left"/>
      <w:pPr>
        <w:ind w:left="120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3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0" w:hanging="435"/>
        <w:jc w:val="left"/>
      </w:pPr>
      <w:rPr>
        <w:rFonts w:hint="default"/>
        <w:b/>
        <w:bCs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" w:hanging="4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80" w:hanging="4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500" w:hanging="4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180" w:hanging="4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60" w:hanging="4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540" w:hanging="4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731613"/>
    <w:rsid w:val="0D006F5B"/>
    <w:rsid w:val="2B105D89"/>
    <w:rsid w:val="3CE669B6"/>
    <w:rsid w:val="45DE2B48"/>
    <w:rsid w:val="60EC6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90"/>
      <w:ind w:left="36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60" w:hanging="24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2021-09-16T18:30:00Z</dcterms:created>
  <dc:creator>User</dc:creator>
  <cp:lastModifiedBy>usuario</cp:lastModifiedBy>
  <cp:lastPrinted>2021-09-28T11:48:00Z</cp:lastPrinted>
  <dcterms:modified xsi:type="dcterms:W3CDTF">2021-10-04T13:38:28Z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2021-09-16T00:00:00Z</vt:filetime>
  </property>
  <property fmtid="{D5CDD505-2E9C-101B-9397-08002B2CF9AE}" pid="5" name="KSOProductBuildVer">
    <vt:lpwstr>1046-11.2.0.10323</vt:lpwstr>
  </property>
  <property fmtid="{D5CDD505-2E9C-101B-9397-08002B2CF9AE}" pid="6" name="ICV">
    <vt:lpwstr>5DA0246EDDE943C7A37DD136FFF80342</vt:lpwstr>
  </property>
</Properties>
</file>